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059. “银龄数字，AI 助老”——社区老年人数字化生活服务（AI、智能设备）使用意愿研究（与第一批银发题互补）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 岁以上城市/乡村老年人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核心问题/变量：数字素养、感知易用性、社会支持、使用意愿、生活改善感知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H1：数字素养、感知易用性（生活改善感知）之间存在可检验的关系，且受群体差异（年龄/收入/地区/身份）调节（待验证）；H2：数字素养、感知易用性是影响生活改善感知的关键因素（待验证）。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