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608. “银发助浴车，上门洗澡”——助浴车上门的服务消费与接受度研究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研究对象：使用或有意愿使用助浴车/上门助浴服务的失能老人家庭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核心问题/变量：老人洗浴困难程度、助浴服务知晓与使用、价格接受度、隐私顾虑、子女代办、服务规范（温度/安全）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老人洗浴困难程度、助浴服务知晓与使用（服务规范（温度/安全））之间存在可检验的关系，且受群体差异（年龄/收入/地区/身份）调节（待验证）；H2：老人洗浴困难程度、助浴服务知晓与使用是影响服务规范（温度/安全）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🔶助浴服务试点报道（央媒须下载核验）；✅老年人助浴服务政策（民政部）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民政助浴项目渠道+家属访谈；获奖黑名单核对：近三年无上门助浴获奖题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🔶助浴服务试点报道（央媒须下载核验）；✅老年人助浴服务政策（民政部）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