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621. “银发洗脚城，足疗养生新风”——老年足疗、泡脚养生馆消费研究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研究对象：常去足疗/泡脚养生馆的中老年人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核心问题/变量：足疗养生动机（缓解疼痛/社交/习惯）、消费频次与金额、门店选择、健康收益感知、会员卡消费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H1：足疗养生动机（缓解疼痛/社交/习惯）、消费频次与金额显著影响会员卡消费（待验证）；H2：不同人群（年龄/收入/城市等级）在上述关系中存在调节作用（待验证）。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🔶足疗养生行业数据（行业报告须下载核验）；✅健康中国与中医养生政策（卫健委）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养生馆渠道问卷+经营者访谈；获奖黑名单核对：近三年无老年足疗获奖题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🔶足疗养生行业数据（行业报告须下载核验）；✅健康中国与中医养生政策（卫健委）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