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638. “老友记，银发同学会”——老年人聚会社交（同学会、战友会）消费研究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研究对象：经常组织/参加同学会、战友会等聚会的老年人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核心问题/变量：聚会频次与形式（聚餐/旅行/K歌）、人均消费、组织者角色、情感价值（叙旧/排解孤独）、子女支持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H1：聚会频次与形式（聚餐/旅行/K歌）、人均消费显著影响子女支持（待验证）；H2：不同人群（年龄/收入/城市等级）在上述关系中存在调节作用（待验证）。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🔶银发社交消费报道（媒体须下载核验）；✅老龄事业与产业政策（老龄办）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老年社群问卷+餐饮/旅行社渠道；获奖黑名单核对：近三年无银发聚会获奖题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🔶银发社交消费报道（媒体须下载核验）；✅老龄事业与产业政策（老龄办）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