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657. “老年面部护理，银发悦己2.0”——中老年美容护肤消费研究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研究对象：做面部护理/买护肤品的55岁以上女性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核心问题/变量：银发护肤认知（悦己/社交）、护理院线消费（面护/祛斑）、产品购买渠道、对“老年妆”观念转变、预算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H1：银发护肤认知（悦己/社交）、护理院线消费（面护/祛斑）显著影响预算（待验证）；H2：不同人群（年龄/收入/城市等级）在上述关系中存在调节作用（待验证）。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🔶银发美妆市场数据（行业报告须下载核验）；✅银发经济政策（国务院办公厅）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美容院渠道+银发社群问卷；获奖黑名单核对：近三年无中老年护肤获奖题（区别于341银发美妆）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🔶银发美妆市场数据（行业报告须下载核验）；✅银发经济政策（国务院办公厅）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