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722. “银发园艺，花木养生”——老年人养花种菜园艺消费研究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研究对象：有养花/种菜爱好的老年人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核心问题/变量：园艺动机（充实/运动/收获）、花木与工具消费、阳台/屋顶种植空间、园艺社群与展示、健康效益感知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H1：园艺动机（充实/运动/收获）、花木与工具消费显著影响健康效益感知（待验证）；H2：不同人群（年龄/收入/城市等级）在上述关系中存在调节作用（待验证）。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🔶银发园艺消费报道（媒体须下载核验）；✅老年健康与银发经济政策（老龄办）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花市/社区问卷+园艺商家访谈；获奖黑名单核对：近三年无银发园艺获奖题（区别于570阳台种菜泛题）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🔶银发园艺消费报道（媒体须下载核验）；✅老年健康与银发经济政策（老龄办）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