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745. “适老家居改造，安享居家”——家庭适老化改造（防滑、扶手、智能）消费研究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研究对象：为老人做居家适老化改造的家庭（子女主导）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核心问题/变量：适老改造点位（卫浴/扶手/智能监测）、改造费用与补贴、施工与安全、子女代决策、改造后满意度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适老改造点位（卫浴/扶手/智能监测）、改造费用与补贴（改造后满意度）之间存在可检验的关系，且受群体差异（年龄/收入/地区/身份）调节（待验证）；H2：适老改造点位（卫浴/扶手/智能监测）、改造费用与补贴是影响改造后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✅居家适老化改造补贴政策（民政部、住建部）；🔶改造行业数据（须下载核验）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改造服务商渠道+子女问卷；获奖黑名单核对：近三年无居家适老改造获奖题（区别于122适老家电）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✅居家适老化改造补贴政策（民政部、住建部）；🔶改造行业数据（须下载核验）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