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820. “老年防诈课堂，守好钱袋子”——老年人防诈骗教育（社区课堂、银行拦截）研究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研究对象：参加社区防诈宣传的老年人（含被骗经历者）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核心问题/变量：受骗类型（理财/保健品/冒充公检法）、防诈课堂参与率、银行/公安拦截体验、被骗金额与心理、防诈意识提升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受骗类型（理财/保健品/冒充公检法）、防诈课堂参与率（防诈意识提升）之间存在可检验的关系，且受群体差异（年龄/收入/地区/身份）调节（待验证）；H2：受骗类型（理财/保健品/冒充公检法）、防诈课堂参与率是影响防诈意识提升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✅打击整治养老诈骗专项行动（公安部、最高法）；🔶养老诈骗案例数据（须下载核验）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社区渠道问卷+民警访谈；获奖黑名单核对：近三年无老年防诈获奖题（区别于396清理反诈泛题）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✅打击整治养老诈骗专项行动（公安部、最高法）；🔶养老诈骗案例数据（须下载核验）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