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861. “银发主播，老年网红”——老年网红（银发直播、短视频）内容与变现研究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研究对象：老年网红/银发内容创作者及其观众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核心问题/变量：银发网红内容类型（美食/变装/生活）、观众画像与互动、变现方式（带货/打赏）、老年人数字参与、内容负效应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银发网红内容类型（美食/变装/生活）、观众画像与互动（内容负效应）之间存在可检验的关系，且受群体差异（年龄/收入/地区/身份）调节（待验证）；H2：银发网红内容类型（美食/变装/生活）、观众画像与互动是影响内容负效应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🔶老年网红现象报道（媒体须下载核验）；✅老年人数字生活与网络治理（网信办）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银发账号分析+MCN访谈；获奖黑名单核对：近三年无银发网红获奖题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🔶老年网红现象报道（媒体须下载核验）；✅老年人数字生活与网络治理（网信办）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