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923. “银发模特队，T台晚年”——中老年模特、走秀培训消费研究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研究对象：参加老年模特队/形体培训的老年人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核心问题/变量：模特培训参与动机（气质/社交/圆梦）、课程与演出消费、比赛（老年模特大赛）参与、身体自信提升、持续投入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模特培训参与动机（气质/社交/圆梦）、课程与演出消费（持续投入）之间存在可检验的关系，且受群体差异（年龄/收入/地区/身份）调节（待验证）；H2：模特培训参与动机（气质/社交/圆梦）、课程与演出消费是影响持续投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🔶银发文娱产业政策（老龄办、文旅部）；🔶老年模特队报道（须下载核验）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老年模特队问卷+培训机构访谈；获奖黑名单核对：近三年无老年模特获奖题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🔶银发文娱产业政策（老龄办、文旅部）；🔶老年模特队报道（须下载核验）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