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1192. “宠物日托，上班寄养新选择”——宠物日托（工作日托管）服务消费研究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研究对象：工作日将宠物送日托（狗狗幼儿园）的宠物主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核心问题/变量：宠物日托需求（上班无人管）、日托内容（活动/社交/训练）、费用（日费50-200）、监控直播、宠物分离焦虑、复购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H1：宠物日托需求（上班无人管）、日托内容（活动/社交/训练）显著影响复购（待验证）；H2：不同人群（年龄/收入/城市等级）在上述关系中存在调节作用（待验证）。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🔶宠物寄养服务规范（地方条例）；🔶宠物日托市场报道（须下载核验）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日托机构问卷+宠物主访谈；获奖黑名单核对：近三年无宠物日托获奖题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🔶宠物寄养服务规范（地方条例）；🔶宠物日托市场报道（须下载核验）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