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1197. “宠物失业了，情绪价值还在”——宠物情绪价值（情感寄托）消费深化研究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建议地区：农村（可按省/市细化抽样框）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确定行业：02_宠物经济（选择理由：贴合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研究对象：将宠物作为情感寄托（单身/独居）的宠物主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核心问题/变量：宠物情感寄托（陪伴/治愈）、宠物周边（情绪安抚）消费、宠物沟通（语言翻译器）、宠物心理服务、情感依赖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H1：宠物情感寄托（陪伴/治愈）、宠物周边（情绪安抚）消费显著影响情感依赖（待验证）；H2：不同人群（年龄/收入/城市等级）在上述关系中存在调节作用（待验证）。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🔶宠物经济与情感消费报告（行业报告须下载核验）；✅动物保护与宠物管理政策（农业农村部）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宠物主问卷+宠物服务商访谈；获奖黑名单核对：近三年无宠物情绪价值获奖题（区别于816宠物仪式感、31情绪消费）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🔶宠物经济与情感消费报告（行业报告须下载核验）；✅动物保护与宠物管理政策（农业农村部）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