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127. “毛孩子也有医保”——宠物保险购买意愿与理赔体验研究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研究对象：养宠人群（犬猫为主）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核心问题/变量：保险认知、购买动机、保费接受度、理赔体验、续保意愿、行业信任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H1：保险认知、购买动机显著影响行业信任（待验证）；H2：不同人群（年龄/收入/城市等级）在上述关系中存在调节作用（待验证）。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险保费2020年约5000万元→2025年30亿—35亿元（五年60倍）；✅2025年城镇犬猫1.26亿只、宠物消费市场3126亿元（《2026年中国宠物行业白皮书》）；✅众安2026H1宠物险保费+22.7%至6.91亿元（新华社）；🔶理赔慢、赔付比例低行业痛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宠物医院/宠物社群+线上问卷；话题热度高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险保费2020年约5000万元→2025年30亿—35亿元（五年60倍）；✅2025年城镇犬猫1.26亿只、宠物消费市场3126亿元（《2026年中国宠物行业白皮书》）；✅众安2026H1宠物险保费+22.7%至6.91亿元（新华社）；🔶理赔慢、赔付比例低行业痛点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