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129. “流浪猫绝育，社区共治”——社区流浪动物TNR（诱捕绝育放归）参与意愿研究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研究对象：饲养爬宠/异宠的 18—35 岁青年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核心问题/变量：入坑动机（个性/低需求陪伴）、饲养成本、合规认知（野生动物保护）、知识获取、圈层社交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坑动机（个性/低需求陪伴）、饲养成本（圈层社交）之间存在可检验的关系，且受群体差异（年龄/收入/地区/身份）调节（待验证）；H2：入坑动机（个性/低需求陪伴）、饲养成本是影响圈层社交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🔶异宠经济近年在青年中兴起（媒体报道："异宠热"成现象，需引原文）；✅《野生动物保护法》对异宠交易监管（政策背景）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爬宠店/异宠社群/展会渠道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🔶异宠经济近年在青年中兴起（媒体报道："异宠热"成现象，需引原文）；✅《野生动物保护法》对异宠交易监管（政策背景）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