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130. “宠物上学，行为训练”——宠物行为训练、宠物学校服务消费研究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研究对象：近一年带宠物就诊的养宠人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核心问题/变量：就诊频次、费用区间、价格敏感、医院选择、费用透明度感知、保障需求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H1：就诊频次、费用区间显著影响保障需求（待验证）；H2：不同人群（年龄/收入/城市等级）在上述关系中存在调节作用（待验证）。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✅宠物消费市场3126亿元、宠物医疗为最大细分之一（白皮书）；🔶"宠物看病贵"成养宠人普遍痛点（媒体热议）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宠物医院/兽医门诊现场问卷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✅宠物消费市场3126亿元、宠物医疗为最大细分之一（白皮书）；🔶"宠物看病贵"成养宠人普遍痛点（媒体热议）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