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131. “宠物咖啡，人宠社交”——宠物友好社交空间（猫咖、狗咖、露营）消费体验研究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研究对象：去过猫咖/狗咖/宠物餐厅的消费者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核心问题/变量：消费动机（撸宠解压/社交）、卫生安全顾虑、门票餐饮消费、满意度、复购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H1：消费动机（撸宠解压/社交）、卫生安全顾虑显著影响复购（待验证）；H2：不同人群（年龄/收入/城市等级）在上述关系中存在调节作用（待验证）。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🔶宠物主题咖啡/友好空间为城市休闲新业态（媒体报道）；✅宠物经济扩容、宠物友好城市建设（政策背景，🔶具体城市文件待核验）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宠物咖啡店/宠物友好商场现场调研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🔶宠物主题咖啡/友好空间为城市休闲新业态（媒体报道）；✅宠物经济扩容、宠物友好城市建设（政策背景，🔶具体城市文件待核验）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