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132. “智能猫砂盆，解放双手”——宠物智能用品（自动喂食、猫砂盆、饮水机）消费意愿研究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研究对象：养宠且关注宠物智能设备的 20—40 岁人群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核心问题/变量：品类认知、痛点（出差/清洁）、价格接受、科技信任、购买与推荐意愿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H1：品类认知、痛点（出差/清洁）显著影响购买与推荐意愿（待验证）；H2：不同人群（年龄/收入/城市等级）在上述关系中存在调节作用（待验证）。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🔶宠物智能用品为宠物经济高增速细分（行业报告，需下载核对）；✅中国宠物消费3126亿元（白皮书）与智能家居3亿台（IDC）双重背景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宠物智能设备电商/社群渠道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🔶宠物智能用品为宠物经济高增速细分（行业报告，需下载核对）；✅中国宠物消费3126亿元（白皮书）与智能家居3亿台（IDC）双重背景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