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201. “宠物美容造型，颜值经济”——宠物美容、洗护造型消费研究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研究对象：上班族/出差养宠人（使用或需要代遛服务）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核心问题/变量：服务场景（工作日遛狗/出差喂养）、信任门槛（钥匙/监控）、价格接受、平台化需求、复购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H1：服务场景（工作日遛狗/出差喂养）、信任门槛（钥匙/监控）显著影响复购（待验证）；H2：不同人群（年龄/收入/城市等级）在上述关系中存在调节作用（待验证）。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✅宠物消费市场3126亿元（《2026年中国宠物行业白皮书》）；🔶宠物代遛为城市养宠刚需服务（媒体）；✅宠物服务类目扩张（行业报告🔶）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宠物社群/宠物店渠道；与128题（寄养）区分：聚焦日常代遛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✅宠物消费市场3126亿元（《2026年中国宠物行业白皮书》）；🔶宠物代遛为城市养宠刚需服务（媒体）；✅宠物服务类目扩张（行业报告🔶）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