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023. “宠物养老，服务升级”——老年宠物照护与宠物慢病管理服务需求研究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确定行业：02_宠物经济（选择理由：贴合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研究对象：养宠 5 年以上、宠物年龄较大的宠物主人。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核心问题/变量：宠物年龄、医疗支出、慢病管理需求、护理服务、支付意愿。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H1：宠物年龄、医疗支出显著影响支付意愿。（待验证）；H2：不同人群（年龄/收入/城市等级）在上述关系中存在调节作用（待验证）。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S9，《2026 年中国宠物行业白皮书》及宠物消费市场报告。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宠物医院、宠物美容店和宠物社群取样。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S9，《2026 年中国宠物行业白皮书》及宠物消费市场报告。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