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024. “宠物友好，城市共居”——宠物友好社区服务满意度与治理需求研究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研究对象：养宠居民、不养宠居民和物业管理者。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核心问题/变量：公共空间冲突、卫生、安全、宠物设施、邻里关系、物业服务满意度。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H1：公共空间冲突、卫生（物业服务满意度。）之间存在可检验的关系，且受群体差异（年龄/收入/地区/身份）调节（待验证）；H2：公共空间冲突、卫生是影响物业服务满意度。的关键因素（待验证）。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S9，宠物经济行业报告；S4，城市公共服务和社会治理政策线索。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 3—5 个不同类型社区进行比较。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S9，宠物经济行业报告；S4，城市公共服务和社会治理政策线索。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