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293. “带上毛孩子，一起旅行”——宠物旅行、宠物友好服务消费需求研究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研究对象：带宠物出行（自驾/酒店/托运）的养宠人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核心问题/变量：出行场景、宠物友好酒店/景区需求、托运服务选择、安全焦虑、消费支出、市场痛点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H1：出行场景、宠物友好酒店/景区需求显著影响市场痛点（待验证）；H2：不同人群（年龄/收入/城市等级）在上述关系中存在调节作用（待验证）。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✅2026年宠物消费市场预计3365亿元（+4.3%，亚宠研究院）；✅宠物服务占市场约10%；🔶宠物友好酒店/宠物托运服务增长（媒体）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宠物社群/宠物友好酒店渠道；与127-132（宠物板块）区分：聚焦出行场景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✅2026年宠物消费市场预计3365亿元（+4.3%，亚宠研究院）；✅宠物服务占市场约10%；🔶宠物友好酒店/宠物托运服务增长（媒体）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