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312. “宠物 AI 相机，听懂毛孩子”——宠物 AI 翻译、行为解读设备消费研究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研究对象：养猫/养狗宠物主（尤其年轻群体）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核心问题/变量：宠物 AI 翻译机/行为解读相机的购买意愿、使用体验与准确率感知、价格接受度、与智能喂食器等硬件的对比、情感价值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H1：宠物 AI 翻译机/行为解读相机的购买意愿、使用体验与准确率感知显著影响情感价值（待验证）；H2：不同人群（年龄/收入/城市等级）在上述关系中存在调节作用（待验证）。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 AI 硬件市场与产品数据（行业媒体、电商数据，须下载核验）；✅宠物消费规模 3126 亿元（已有证据）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宠物社群（小红书、猫狗超话）招募+电商评论分析；与132（智能用品）区分：聚焦“AI 理解宠物语言”新品类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 AI 硬件市场与产品数据（行业媒体、电商数据，须下载核验）；✅宠物消费规模 3126 亿元（已有证据）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