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416. “遛宠地图，毛孩子的公园”——城市遛宠公共空间（宠物公园、遛狗区）需求研究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建议地区：深圳（可按省/市细化抽样框）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研究对象：养宠家庭（在城市社区生活）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核心问题/变量：遛宠空间需求、宠物友好标识（商场/公园/小区）、排泄物管理矛盾、邻里纠纷、改进建议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遛宠空间需求、宠物友好标识（商场/公园/小区）（改进建议）之间存在可检验的关系，且受群体差异（年龄/收入/地区/身份）调节（待验证）；H2：遛宠空间需求、宠物友好标识（商场/公园/小区）是影响改进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✅宠物消费市场2026年预计3365亿（第十轮证据）；🔶宠物友好城市（"宠物友好"政策深圳等先行城市媒体需核验）；✅《动物防疫法》养犬管理背景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社区养宠群+宠物公园现场；与127-132（宠物经济）区分：聚焦公共空间治理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✅宠物消费市场2026年预计3365亿（第十轮证据）；🔶宠物友好城市（"宠物友好"政策深圳等先行城市媒体需核验）；✅《动物防疫法》养犬管理背景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