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421. “毛孩子的看病账单”——宠物医疗消费与宠物医院选择研究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研究对象：带宠物就诊过（体检/疫苗/手术）的养宠人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核心问题/变量：就诊项目与费用、医院选择（连锁vs社区）、药品价格感知、保险使用、诊疗体验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H1：就诊项目与费用、医院选择（连锁vs社区）显著影响诊疗体验（待验证）；H2：不同人群（年龄/收入/城市等级）在上述关系中存在调节作用（待验证）。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✅宠物医疗行业2025年约395亿元→2026年预计424亿元（中商产业研究院）；✅连锁型宠物医院将成主流、宠物药品国产品牌起步；✅医疗占宠物消费市场约26%（亚宠研究院）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宠物医院/养宠社群渠道；与126题（宠物保险）区分：聚焦医疗服务消费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✅宠物医疗行业2025年约395亿元→2026年预计424亿元（中商产业研究院）；✅连锁型宠物医院将成主流、宠物药品国产品牌起步；✅医疗占宠物消费市场约26%（亚宠研究院）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