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423. “异宠时代，小众萌宠”——异宠（爬宠、仓鼠、鸟）饲养消费研究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研究对象：饲养异宠（非猫犬类）的玩家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核心问题/变量：异宠品类、入坑动机、饲养成本（设备/饲料）、医疗获取障碍、合规认知（野生保护）、社群交流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H1：异宠品类、入坑动机（社群交流）之间存在可检验的关系，且受群体差异（年龄/收入/地区/身份）调节（待验证）；H2：异宠品类、入坑动机是影响社群交流的关键因素（待验证）。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🔶异宠市场（《2026中国宠物行业白皮书》单列异宠板块）；✅宠物市场3126亿大盘（2026白皮书）；✅异宠饲养政策（林业部门野生动物保护法规背景）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异宠社群/爬宠店渠道；选题新颖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🔶异宠市场（《2026中国宠物行业白皮书》单列异宠板块）；✅宠物市场3126亿大盘（2026白皮书）；✅异宠饲养政策（林业部门野生动物保护法规背景）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