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424. “宠物生日会，派对经济”——宠物生日宴、宠物派对活动消费研究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研究对象：去过宠物咖啡馆（猫咖/狗咖/兔咖）的消费者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核心问题/变量：到店动机（解压/社交/出片）、收费模式（门票/饮品）、动物福利感知、卫生顾虑、复购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H1：到店动机（解压/社交/出片）、收费模式（门票/饮品）显著影响复购（待验证）；H2：不同人群（年龄/收入/城市等级）在上述关系中存在调节作用（待验证）。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🔶宠物咖啡业态（行业媒体需核验）；✅宠物消费3126亿背景；✅情绪消费与解压经济（已核验）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宠物咖啡馆现场问卷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🔶宠物咖啡业态（行业媒体需核验）；✅宠物消费3126亿背景；✅情绪消费与解压经济（已核验）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