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425. “流浪毛孩，领养代替购买”——流浪动物救助、领养参与意愿研究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研究对象：参与过流浪动物救助/领养的爱心人士及普通市民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核心问题/变量：救助经历、领养渠道（平台/基地/朋友圈）、领养条件认知（绝育/回访）、流浪动物问题感知、支持意愿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救助经历、领养渠道（平台/基地/朋友圈）（支持意愿）之间存在可检验的关系，且受群体差异（年龄/收入/地区/身份）调节（待验证）；H2：救助经历、领养渠道（平台/基地/朋友圈）是影响支持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🔶流浪动物数量（中国动物保护组织估算需核验）；✅《动物防疫法》流浪犬收容规定；✅城市犬只管理政策（416题衔接）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救助基地/动物医院渠道；公益型选题增分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🔶流浪动物数量（中国动物保护组织估算需核验）；✅《动物防疫法》流浪犬收容规定；✅城市犬只管理政策（416题衔接）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