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532. “毛孩子的情绪课”——宠物情绪行为咨询、宠物心理健康服务消费研究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研究对象：咨询宠物异常行为/情绪问题的宠物主、宠物行为专家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核心问题/变量：宠物焦虑/应激问题困扰、行为咨询（动物行为学）认知与付费意愿、与训犬（130）区别认知、线上问诊接受度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H1：宠物焦虑/应激问题困扰、行为咨询（动物行为学）认知与付费意愿显著影响线上问诊接受度（待验证）；H2：不同人群（年龄/收入/城市等级）在上述关系中存在调节作用（待验证）。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🔶宠物行为咨询行业报道（专业媒体须下载核验）；✅宠物医疗规范（已有421宠物医疗题证据）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宠物医院/社群问卷+行为治疗师访谈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🔶宠物行为咨询行业报道（专业媒体须下载核验）；✅宠物医疗规范（已有421宠物医疗题证据）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