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614. “宠物慢病管理，毛孩的长期处方”——宠物慢性病（糖尿病、肾病）管理服务研究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研究对象：宠物患慢性病的宠物主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核心问题/变量：宠物慢病类型分布、定期复查频次、处方粮/药品消费、费用负担（月均）、宠物医保衔接、生活质量权衡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H1：宠物慢病类型分布、定期复查频次显著影响生活质量权衡（待验证）；H2：不同人群（年龄/收入/城市等级）在上述关系中存在调节作用（待验证）。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🔶宠物医疗市场数据（行业报告须下载核验）；✅动物诊疗管理办法（农业农村部）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宠物医院渠道问卷+兽医访谈；获奖黑名单核对：近三年无宠物慢病获奖题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🔶宠物医疗市场数据（行业报告须下载核验）；✅动物诊疗管理办法（农业农村部）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