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635. “宠物表情包经济，云吸猫”——宠物网红内容消费与MCN变现研究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研究阶段：mature（成熟期：满意度与优化研究）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确定行业：02_宠物经济（选择理由：贴合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研究对象：观看宠物短视频/直播、关注宠物网红的用户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核心问题/变量：云吸宠习惯（时长/平台）、宠物账号关注与互动、宠物带货购买、打赏与周边消费、情感寄托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H1：云吸宠习惯（时长/平台）、宠物账号关注与互动显著影响情感寄托（待验证）；H2：不同人群（年龄/收入/城市等级）在上述关系中存在调节作用（待验证）。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🔶宠物内容生态数据（平台报告须下载核验）；✅MCN内容规范（网信办）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短视频平台用户问卷+宠物MCN访谈；获奖黑名单核对：近三年无宠物网红获奖题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🔶宠物内容生态数据（平台报告须下载核验）；✅MCN内容规范（网信办）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