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739. “宠物殡葬升级，仪式感告别”——宠物殡葬（告别仪式、纪念品）消费研究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确定行业：02_宠物经济（选择理由：贴合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研究对象：为宠物办过告别仪式/殡葬的宠物主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核心问题/变量：殡葬服务内容（火化/土葬/纪念品/线上告别）、价格接受（数百-数千）、情感疗愈作用、行业规范度感知、推荐意愿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H1：殡葬服务内容（火化/土葬/纪念品/线上告别）、价格接受（数百-数千）显著影响推荐意愿（待验证）；H2：不同人群（年龄/收入/城市等级）在上述关系中存在调节作用（待验证）。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🔶宠物殡葬行业报道（媒体须下载核验）；✅宠物殡葬规范（地方条例）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宠物殡葬机构渠道问卷+从业者访谈；获奖黑名单核对：近三年无宠物殡葬获奖题（区别于104宠物殡葬泛题，聚焦仪式升级）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🔶宠物殡葬行业报道（媒体须下载核验）；✅宠物殡葬规范（地方条例）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