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782. “宠物医保，宠物医院直赔”——宠物医疗险直赔（医院直结）体验研究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研究对象：使用宠物医疗险直赔/定点医院的宠物主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核心问题/变量：直赔流程（免垫付）体验、定点医院覆盖、理赔速度、与垫付后报销对比、保费调整感知、续保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H1：直赔流程（免垫付）体验、定点医院覆盖显著影响续保（待验证）；H2：不同人群（年龄/收入/城市等级）在上述关系中存在调节作用（待验证）。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🔶宠物险直赔模式报道（行业媒体须下载核验）；✅宠物诊疗与保险规范（农业农村部）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宠物医院渠道问卷+险企访谈；获奖黑名单核对：近三年无宠物险直赔获奖题（区别于696宠物医疗险）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🔶宠物险直赔模式报道（行业媒体须下载核验）；✅宠物诊疗与保险规范（农业农村部）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