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816. “宠物面包店，宠物生日趴”——宠物烘焙宠物派对消费（节日经济）研究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研究对象：为宠物办生日/办派对（宠物烘焙蛋糕/布置）的宠物主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核心问题/变量：宠物节日仪式感消费（生日/节日）、宠物蛋糕价格与定制、派对场地与道具、社交分享（朋友圈/小红书）、年消费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H1：宠物节日仪式感消费（生日/节日）、宠物蛋糕价格与定制显著影响年消费（待验证）；H2：不同人群（年龄/收入/城市等级）在上述关系中存在调节作用（待验证）。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🔶宠物仪式经济报道（行业媒体须下载核验）；✅宠物食品规范（农业农村部）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宠物烘焙商家渠道+宠物主问卷；获奖黑名单核对：近三年无宠物派对获奖题（区别于652烘焙零食）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🔶宠物仪式经济报道（行业媒体须下载核验）；✅宠物食品规范（农业农村部）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