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830. “流浪猫TNR，社区共治实验”——流浪猫绝育（TNR）治理与居民参与研究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建议地区：农村（可按省/市细化抽样框）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确定行业：02_宠物经济（选择理由：贴合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研究对象：参与社区流浪猫TNR（诱捕绝育放归）的志愿者、社区居委会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核心问题/变量：流浪猫数量感知、TNR知晓与参与、邻里争议（喂猫vs卫生）、费用来源（众筹/公益）、人猫和谐评估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流浪猫数量感知、TNR知晓与参与（人猫和谐评估）之间存在可检验的关系，且受群体差异（年龄/收入/地区/身份）调节（待验证）；H2：流浪猫数量感知、TNR知晓与参与是影响人猫和谐评估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🔶TNR社区实践报道（动物保护媒体须下载核验）；✅动物防疫与流浪动物治理政策（农业农村部）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志愿者社群问卷+社区访谈；获奖黑名单核对：近三年无TNR获奖题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🔶TNR社区实践报道（动物保护媒体须下载核验）；✅动物防疫与流浪动物治理政策（农业农村部）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