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853. “宠物友好星巴克，coffee with pets”——宠物友好门店（咖啡、餐厅）消费研究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建议地区：社区（可按省/市细化抽样框）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确定行业：02_宠物经济（选择理由：贴合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研究对象：带宠物出入宠物友好咖啡/餐厅的宠物主与普通顾客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核心问题/变量：宠物友好门店知晓与使用、带宠消费频次、毛孩子专属菜单消费、普通顾客接受度、门店联盟、满意度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H1：宠物友好门店知晓与使用、带宠消费频次显著影响满意度（待验证）；H2：不同人群（年龄/收入/城市等级）在上述关系中存在调节作用（待验证）。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🔶宠物友好商业报道（行业媒体须下载核验）；✅宠物经济政策（各地）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宠物友好门店问卷+品牌访谈；获奖黑名单核对：近三年无宠物友好门店获奖题（区别于24宠物友好社区）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🔶宠物友好商业报道（行业媒体须下载核验）；✅宠物经济政策（各地）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