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917. “宠物采耳、刷牙，精细护理”——宠物精细化护理（刷牙、采耳、SPA）消费研究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研究对象：为宠物购买精细护理服务（刷牙/洁耳/SPA）的宠物主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核心问题/变量：宠物口腔健康认知、精细护理服务消费（单次50-300）、上门vs到店、宠物应激处理、护理频率、复购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H1：宠物口腔健康认知、精细护理服务消费（单次50-300）显著影响复购（待验证）；H2：不同人群（年龄/收入/城市等级）在上述关系中存在调节作用（待验证）。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🔶宠物护理服务规范（地方条例）；🔶宠物服务市场数据（行业报告须下载核验）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宠物店渠道+宠物主问卷；获奖黑名单核对：近三年无宠物精细护理获奖题（区别于287宠物美容泛题）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🔶宠物护理服务规范（地方条例）；🔶宠物服务市场数据（行业报告须下载核验）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