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969. “宠物行业标准，服务再分级”——宠物服务（洗护、寄养、医疗）标准化研究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研究对象：宠物服务业从业者、宠物主、行业协会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核心问题/变量：宠物服务标准（洗护规范/寄养合同）知晓、服务纠纷（宠物受伤）、从业资质（美容师证）、分级定价、行业信任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H1：宠物服务标准（洗护规范/寄养合同）知晓、服务纠纷（宠物受伤）显著影响行业信任（待验证）；H2：不同人群（年龄/收入/城市等级）在上述关系中存在调节作用（待验证）。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🔶宠物行业团体标准（中国畜牧业协会宠物分会）；🔶宠物服务纠纷案例（消协须下载核验）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宠物店/医院问卷+协会访谈；获奖黑名单核对：近三年无宠物服务标准获奖题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🔶宠物行业团体标准（中国畜牧业协会宠物分会）；🔶宠物服务纠纷案例（消协须下载核验）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