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501. “刮刮乐，年轻人的快乐税”——即开型彩票与青年购彩消费行为研究（特色亮点批次）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特色亮点扩容批次（新增编号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按行业分类-07_零售商业与消费新形态（编号 501）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