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6. “低空配送，最后一公里”——无人机快递配送公众接受度与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快递用户、社区居民和电商消费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配送时效、价格、安全风险、隐私顾虑、噪声影响、使用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配送时效、价格显著影响使用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[低空经济 2026 政策与无人机配送检索](https://www.baidu.com/s?wd=%E4%BD%8E%E7%A9%BA%E7%BB%8F%E6%B5%8E%202026%20%E6%94%BF%E7%AD%96%20%E6%97%A0%E4%BA%BA%E6%9C%BA%20%E7%89%A9%E6%B5%81)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比较校园、社区和写字楼三个场景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[低空经济 2026 政策与无人机配送检索](https://www.baidu.com/s?wd=%E4%BD%8E%E7%A9%BA%E7%BB%8F%E6%B5%8E%202026%20%E6%94%BF%E7%AD%96%20%E6%97%A0%E4%BA%BA%E6%9C%BA%20%E7%89%A9%E6%B5%81)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