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8. “低空通勤，未来已来”——eVTOL 短途通勤服务接受度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高频跨区通勤者、商务出行者和机场旅客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通勤时间节约、安全信任、价格、噪声、起降点便利性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通勤时间节约、安全信任（起降点便利性。）之间存在可检验的关系，且受群体差异（年龄/收入/地区/身份）调节（待验证）；H2：通勤时间节约、安全信任是影响起降点便利性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与地方低空产业规划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使用情景图片和价格区间开展选择实验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与地方低空产业规划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