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1008. “智驾平权，十万级智驾”——智能驾驶配置下探（低价位车型）消费决策研究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研究对象：购买/考虑15万级带高阶智驾车型的消费者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核心问题/变量：智驾配置购车权重、城市NOA（领航辅助）使用频次、智驾安全信任、与传统配置取舍、品牌智驾标签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H1：智驾配置购车权重、城市NOA（领航辅助）使用频次显著影响品牌智驾标签（待验证）；H2：不同人群（年龄/收入/城市等级）在上述关系中存在调节作用（待验证）。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🔶智能网联汽车准入与智驾政策（工信部）；🔶智驾车型销量数据（须下载核验）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车友群问卷+4S店试驾统计；获奖黑名单核对：近三年无智驾平权获奖题（区别于418 Robotaxi，聚焦购车配置决策）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🔶智能网联汽车准入与智驾政策（工信部）；🔶智驾车型销量数据（须下载核验）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