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1009. “小米SU7效应，生态造车”——小米汽车（生态链造车）品牌消费研究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研究对象：小米汽车车主/准车主、小米生态用户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核心问题/变量：买车动机（生态联动/雷总IP/性价比）、手机车机互联使用、交付与售后体验、生态产品（米家联动）消费、口碑传播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H1：买车动机（生态联动/雷总IP/性价比）、手机车机互联使用显著影响口碑传播（待验证）；H2：不同人群（年龄/收入/城市等级）在上述关系中存在调节作用（待验证）。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🔶小米汽车销量与交付数据（企业公告须下载核验）；✅智能网联汽车产业政策（工信部）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车主社群问卷+交付中心访谈；获奖黑名单核对：近三年无小米汽车获奖题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🔶小米汽车销量与交付数据（企业公告须下载核验）；✅智能网联汽车产业政策（工信部）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