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1010. “超充网络，喝咖啡的时间充满”——800V超快充设施与车主使用研究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研究对象：使用液冷超充（800V平台）的新能源车主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核心问题/变量：超充桩覆盖与排队、充电速度体验（5分钟200公里）、超充站配套（咖啡/休息）、与慢充成本对比、依赖度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超充桩覆盖与排队、充电速度体验（5分钟200公里）（依赖度）之间存在可检验的关系，且受群体差异（年龄/收入/地区/身份）调节（待验证）；H2：超充桩覆盖与排队、充电速度体验（5分钟200公里）是影响依赖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🔶充电基础设施与超充政策（发改委、能源局）；🔶超充网络数据（须下载核验）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超充站实地问卷+运营商访谈；获奖黑名单核对：近三年无超充获奖题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🔶充电基础设施与超充政策（发改委、能源局）；🔶超充网络数据（须下载核验）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