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1086. “电池终身质保，羊毛还是套路”——新能源车电池质保政策（消费者）研究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确定行业：09_汽车与出行（选择理由：贴合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研究对象：关注电池终身质保条款的新能源车主与准车主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核心问题/变量：电池质保条款（终身vs首任）、衰减阈值（70%）、质保免责（事故/充电习惯）、换电池成本、4S店解释、购车决策权重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H1：电池质保条款（终身vs首任）、衰减阈值（70%）显著影响购车决策权重（待验证）；H2：不同人群（年龄/收入/城市等级）在上述关系中存在调节作用（待验证）。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🔶新能源汽车电池质保规范与召回（市场监管总局）；🔶电池质保争议案例（须下载核验）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车主社群问卷+4S店访谈；获奖黑名单核对：近三年无电池质保获奖题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🔶新能源汽车电池质保规范与召回（市场监管总局）；🔶电池质保争议案例（须下载核验）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