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1088. “汽车订阅，按月开新车”——汽车订阅模式（月租开新车）接受度研究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确定行业：09_汽车与出行（选择理由：贴合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研究对象：了解/使用汽车订阅（月付含全险）服务的消费者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核心问题/变量：汽车订阅认知（vs租赁/贷款）、月费（几千元）、换车自由度（随时换）、里程限制、订阅企业供给、接受度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H1：汽车订阅认知（vs租赁/贷款）、月费（几千元）显著影响接受度（待验证）；H2：不同人群（年龄/收入/城市等级）在上述关系中存在调节作用（待验证）。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🔶汽车消费新业态管理（商务部）；🔶汽车订阅市场报道（须下载核验）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汽车订阅平台渠道+用户问卷；获奖黑名单核对：近三年无汽车订阅获奖题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🔶汽车消费新业态管理（商务部）；🔶汽车订阅市场报道（须下载核验）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