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1136. “油车还有戏吗，燃油车最后的倔强”——燃油车与新能源车（消费选择）研究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研究对象：购车时纠结燃油车vs新能源的消费者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核心问题/变量：油电选择考量（补能/保值/驾驶感）、燃油车降价促销、新能源渗透率（超50%）、家庭第二台车、政策导向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H1：油电选择考量（补能/保值/驾驶感）、燃油车降价促销显著影响政策导向（待验证）；H2：不同人群（年龄/收入/城市等级）在上述关系中存在调节作用（待验证）。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🔶汽车产业转型政策（工信部）；🔶油电市场数据（中汽协须下载核验）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4S店问卷+汽车数据机构访谈；获奖黑名单核对：近三年无油电选择获奖题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🔶汽车产业转型政策（工信部）；🔶油电市场数据（中汽协须下载核验）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