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1138. “二手车年轻化，第一台车首选”——年轻人购买二手车（第一台车）研究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研究对象：购买二手车的年轻首购族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核心问题/变量：二手车首购动机（练手/性价比）、车况信任（第三方检测/质保）、二手车平台（官方认证）、金融分期、踩坑经历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H1：二手车首购动机（练手/性价比）、车况信任（第三方检测/质保）显著影响踩坑经历（待验证）；H2：不同人群（年龄/收入/城市等级）在上述关系中存在调节作用（待验证）。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🔶二手车流通与限迁取消政策（商务部）；🔶二手车市场数据（中国汽车流通协会须下载核验）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二手车平台用户问卷+车商访谈；获奖黑名单核对：近三年无二手车年轻化获奖题（区别于70官方认证二手机、981二手出口，聚焦青年首购）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🔶二手车流通与限迁取消政策（商务部）；🔶二手车市场数据（中国汽车流通协会须下载核验）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