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213. “脱保之后，去哪修车”——新能源车脱保后维修市场（保外三电专修）需求研究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研究对象：车龄3年以上新能源车主及维修从业者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核心问题/变量：脱保认知、维修渠道选择（4S/第三方）、三电专修信任、价格敏感、规范诉求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脱保认知、维修渠道选择（4S/第三方）（规范诉求）之间存在可检验的关系，且受群体差异（年龄/收入/地区/身份）调节（待验证）；H2：脱保认知、维修渠道选择（4S/第三方）是影响规范诉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✅2030年超900万辆新能源车进入脱保期、2032年或突破2000万辆；✅2026年8月《新能源汽车维修作业安全要求》正式实施；✅保外三电专修为高价值赛道（行业分析🔶）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新能源维修门店/车主群渠道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✅2030年超900万辆新能源车进入脱保期、2032年或突破2000万辆；✅2026年8月《新能源汽车维修作业安全要求》正式实施；✅保外三电专修为高价值赛道（行业分析🔶）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