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214. “车路云一体化，聪明的路”——智能网联车路云协同的公众接受度研究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建议地区：北京（可按省/市细化抽样框）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研究对象：试点城市（北京、上海、武汉、长沙等）驾驶员与市民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核心问题/变量：车路云协同认知、智能网联汽车接受度、数据共享与隐私意愿、对红绿灯/路侧设施改造的态度、付费服务接受度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车路云协同认知、智能网联汽车接受度（付费服务接受度）之间存在可检验的关系，且受群体差异（年龄/收入/地区/身份）调节（待验证）；H2：车路云协同认知、智能网联汽车接受度是影响付费服务接受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✅车路云一体化试点城市政策（工信部等五部门文件）；🔶试点建设进展数据（权威媒体，须下载核验）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试点城市车友/市民问卷+行业访谈；与418（Robotaxi）区分：聚焦道路基础设施侧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✅车路云一体化试点城市政策（工信部等五部门文件）；🔶试点建设进展数据（权威媒体，须下载核验）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