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027. “房车低碳，旅居新风”——新能源房车与传统燃油房车的消费者偏好研究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研究对象：房车车主、房车租赁用户和潜在消费者。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核心问题/变量：续航、补能、价格、环保认知、维修便利性、购买/租赁意愿。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H1：续航、补能显著影响购买/租赁意愿。（待验证）；H2：不同人群（年龄/收入/城市等级）在上述关系中存在调节作用（待验证）。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S3，政策明确提出发展新能源房车、提升智能化和绿色化水平。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新能源房车与燃油房车属性概念测试。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S3，政策明确提出发展新能源房车、提升智能化和绿色化水平。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